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95"/>
        <w:jc w:val="center"/>
        <w:rPr>
          <w:rFonts w:hint="eastAsia" w:ascii="微软雅黑" w:hAnsi="微软雅黑" w:eastAsia="微软雅黑" w:cs="微软雅黑"/>
          <w:b/>
          <w:bCs/>
          <w:i w:val="0"/>
          <w:caps w:val="0"/>
          <w:color w:val="000000"/>
          <w:spacing w:val="0"/>
          <w:sz w:val="21"/>
          <w:szCs w:val="21"/>
          <w:shd w:val="clear" w:fill="FFFFFF"/>
        </w:rPr>
      </w:pPr>
      <w:r>
        <w:rPr>
          <w:rFonts w:hint="eastAsia" w:ascii="微软雅黑" w:hAnsi="微软雅黑" w:eastAsia="微软雅黑" w:cs="微软雅黑"/>
          <w:b/>
          <w:bCs/>
          <w:i w:val="0"/>
          <w:caps w:val="0"/>
          <w:color w:val="000000"/>
          <w:spacing w:val="0"/>
          <w:sz w:val="21"/>
          <w:szCs w:val="21"/>
          <w:bdr w:val="none" w:color="auto" w:sz="0" w:space="0"/>
          <w:shd w:val="clear" w:fill="FFFFFF"/>
        </w:rPr>
        <w:t>OHSAS 18001</w:t>
      </w:r>
      <w:r>
        <w:rPr>
          <w:rFonts w:hint="eastAsia" w:ascii="微软雅黑" w:hAnsi="微软雅黑" w:eastAsia="微软雅黑" w:cs="微软雅黑"/>
          <w:b/>
          <w:bCs/>
          <w:i w:val="0"/>
          <w:caps w:val="0"/>
          <w:color w:val="000000"/>
          <w:spacing w:val="0"/>
          <w:sz w:val="21"/>
          <w:szCs w:val="21"/>
          <w:shd w:val="clear" w:fill="FFFFFF"/>
        </w:rPr>
        <w:t>认证 -- 认证介绍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color w:val="000000" w:themeColor="text1"/>
          <w:sz w:val="21"/>
          <w:szCs w:val="21"/>
          <w14:textFill>
            <w14:solidFill>
              <w14:schemeClr w14:val="tx1"/>
            </w14:solidFill>
          </w14:textFill>
        </w:rPr>
      </w:pPr>
      <w:r>
        <w:rPr>
          <w:rStyle w:val="5"/>
          <w:rFonts w:ascii="微软雅黑" w:hAnsi="微软雅黑" w:eastAsia="微软雅黑" w:cs="微软雅黑"/>
          <w:i w:val="0"/>
          <w:caps w:val="0"/>
          <w:color w:val="000000" w:themeColor="text1"/>
          <w:spacing w:val="0"/>
          <w:sz w:val="21"/>
          <w:szCs w:val="21"/>
          <w:bdr w:val="none" w:color="auto" w:sz="0" w:space="0"/>
          <w:shd w:val="clear" w:fill="FFFFFF"/>
          <w14:textFill>
            <w14:solidFill>
              <w14:schemeClr w14:val="tx1"/>
            </w14:solidFill>
          </w14:textFill>
        </w:rPr>
        <w:t>OHSAS 18001的背景知识</w:t>
      </w:r>
      <w:r>
        <w:rPr>
          <w:rFonts w:hint="eastAsia" w:ascii="微软雅黑" w:hAnsi="微软雅黑" w:eastAsia="微软雅黑" w:cs="微软雅黑"/>
          <w:b w:val="0"/>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1"/>
          <w:szCs w:val="21"/>
          <w:shd w:val="clear" w:fill="FFFFFF"/>
          <w14:textFill>
            <w14:solidFill>
              <w14:schemeClr w14:val="tx1"/>
            </w14:solidFill>
          </w14:textFill>
        </w:rPr>
        <w:t>OHSAS 18001 职业健康安全管理体系是帮助组织能够管理和控制在职业健康和安全方面的风险和相关事项的标准。 OHSAS 18000涵盖了以下内容：</w:t>
      </w:r>
      <w:r>
        <w:rPr>
          <w:rFonts w:hint="eastAsia" w:ascii="微软雅黑" w:hAnsi="微软雅黑" w:eastAsia="微软雅黑" w:cs="微软雅黑"/>
          <w:b w:val="0"/>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1"/>
          <w:szCs w:val="21"/>
          <w:shd w:val="clear" w:fill="FFFFFF"/>
          <w14:textFill>
            <w14:solidFill>
              <w14:schemeClr w14:val="tx1"/>
            </w14:solidFill>
          </w14:textFill>
        </w:rPr>
        <w:t>建立职业健康安全方针；</w:t>
      </w:r>
      <w:r>
        <w:rPr>
          <w:rFonts w:hint="eastAsia" w:ascii="微软雅黑" w:hAnsi="微软雅黑" w:eastAsia="微软雅黑" w:cs="微软雅黑"/>
          <w:b w:val="0"/>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1"/>
          <w:szCs w:val="21"/>
          <w:shd w:val="clear" w:fill="FFFFFF"/>
          <w14:textFill>
            <w14:solidFill>
              <w14:schemeClr w14:val="tx1"/>
            </w14:solidFill>
          </w14:textFill>
        </w:rPr>
        <w:t>识别危害及相关法律法规；</w:t>
      </w:r>
      <w:r>
        <w:rPr>
          <w:rFonts w:hint="eastAsia" w:ascii="微软雅黑" w:hAnsi="微软雅黑" w:eastAsia="微软雅黑" w:cs="微软雅黑"/>
          <w:b w:val="0"/>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1"/>
          <w:szCs w:val="21"/>
          <w:shd w:val="clear" w:fill="FFFFFF"/>
          <w14:textFill>
            <w14:solidFill>
              <w14:schemeClr w14:val="tx1"/>
            </w14:solidFill>
          </w14:textFill>
        </w:rPr>
        <w:t>确定职业健康安全目标和指标以及职业健康安全管理方案；</w:t>
      </w:r>
      <w:r>
        <w:rPr>
          <w:rFonts w:hint="eastAsia" w:ascii="微软雅黑" w:hAnsi="微软雅黑" w:eastAsia="微软雅黑" w:cs="微软雅黑"/>
          <w:b w:val="0"/>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1"/>
          <w:szCs w:val="21"/>
          <w:shd w:val="clear" w:fill="FFFFFF"/>
          <w14:textFill>
            <w14:solidFill>
              <w14:schemeClr w14:val="tx1"/>
            </w14:solidFill>
          </w14:textFill>
        </w:rPr>
        <w:t>建立相关管理文件并执行职业健康安全管理体系；</w:t>
      </w:r>
      <w:r>
        <w:rPr>
          <w:rFonts w:hint="eastAsia" w:ascii="微软雅黑" w:hAnsi="微软雅黑" w:eastAsia="微软雅黑" w:cs="微软雅黑"/>
          <w:b w:val="0"/>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1"/>
          <w:szCs w:val="21"/>
          <w:shd w:val="clear" w:fill="FFFFFF"/>
          <w14:textFill>
            <w14:solidFill>
              <w14:schemeClr w14:val="tx1"/>
            </w14:solidFill>
          </w14:textFill>
        </w:rPr>
        <w:t>通过检查、内部审核及管理评审等手段检测职业健康安全管理体系的运行情况，并对发现的问题进行改进。</w:t>
      </w:r>
      <w:r>
        <w:rPr>
          <w:rFonts w:hint="eastAsia" w:ascii="微软雅黑" w:hAnsi="微软雅黑" w:eastAsia="微软雅黑" w:cs="微软雅黑"/>
          <w:b w:val="0"/>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1"/>
          <w:szCs w:val="21"/>
          <w:shd w:val="clear" w:fill="FFFFFF"/>
          <w14:textFill>
            <w14:solidFill>
              <w14:schemeClr w14:val="tx1"/>
            </w14:solidFill>
          </w14:textFill>
        </w:rPr>
        <w:t>这个管理体系标准的主要目的是控制风险及预防工作人员受到伤害。 OHSAS 18001是一个在世界范围内广受认可的国际职业健康安全管理体系规则。</w:t>
      </w:r>
      <w:r>
        <w:rPr>
          <w:rFonts w:hint="eastAsia" w:ascii="微软雅黑" w:hAnsi="微软雅黑" w:eastAsia="微软雅黑" w:cs="微软雅黑"/>
          <w:b w:val="0"/>
          <w:i w:val="0"/>
          <w:caps w:val="0"/>
          <w:color w:val="000000" w:themeColor="text1"/>
          <w:spacing w:val="0"/>
          <w:sz w:val="21"/>
          <w:szCs w:val="21"/>
          <w:bdr w:val="none" w:color="auto" w:sz="0" w:space="0"/>
          <w:shd w:val="clear" w:fill="FFFFFF"/>
          <w14:textFill>
            <w14:solidFill>
              <w14:schemeClr w14:val="tx1"/>
            </w14:solidFill>
          </w14:textFill>
        </w:rPr>
        <w:br w:type="textWrapping"/>
      </w:r>
      <w:r>
        <w:rPr>
          <w:rStyle w:val="5"/>
          <w:rFonts w:hint="eastAsia" w:ascii="微软雅黑" w:hAnsi="微软雅黑" w:eastAsia="微软雅黑" w:cs="微软雅黑"/>
          <w:i w:val="0"/>
          <w:caps w:val="0"/>
          <w:color w:val="000000" w:themeColor="text1"/>
          <w:spacing w:val="0"/>
          <w:sz w:val="21"/>
          <w:szCs w:val="21"/>
          <w:bdr w:val="none" w:color="auto" w:sz="0" w:space="0"/>
          <w:shd w:val="clear" w:fill="FFFFFF"/>
          <w14:textFill>
            <w14:solidFill>
              <w14:schemeClr w14:val="tx1"/>
            </w14:solidFill>
          </w14:textFill>
        </w:rPr>
        <w:t>实施ISO 18001的益处</w:t>
      </w:r>
      <w:r>
        <w:rPr>
          <w:rFonts w:hint="eastAsia" w:ascii="微软雅黑" w:hAnsi="微软雅黑" w:eastAsia="微软雅黑" w:cs="微软雅黑"/>
          <w:b w:val="0"/>
          <w:i w:val="0"/>
          <w:caps w:val="0"/>
          <w:color w:val="000000" w:themeColor="text1"/>
          <w:spacing w:val="0"/>
          <w:sz w:val="21"/>
          <w:szCs w:val="21"/>
          <w:shd w:val="clear" w:fill="FFFFFF"/>
          <w14:textFill>
            <w14:solidFill>
              <w14:schemeClr w14:val="tx1"/>
            </w14:solidFill>
          </w14:textFill>
        </w:rPr>
        <w:t> </w:t>
      </w:r>
      <w:r>
        <w:rPr>
          <w:rFonts w:hint="eastAsia" w:ascii="微软雅黑" w:hAnsi="微软雅黑" w:eastAsia="微软雅黑" w:cs="微软雅黑"/>
          <w:b w:val="0"/>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1"/>
          <w:szCs w:val="21"/>
          <w:shd w:val="clear" w:fill="FFFFFF"/>
          <w14:textFill>
            <w14:solidFill>
              <w14:schemeClr w14:val="tx1"/>
            </w14:solidFill>
          </w14:textFill>
        </w:rPr>
        <w:t>获得更安全的工作场所；</w:t>
      </w:r>
      <w:r>
        <w:rPr>
          <w:rFonts w:hint="eastAsia" w:ascii="微软雅黑" w:hAnsi="微软雅黑" w:eastAsia="微软雅黑" w:cs="微软雅黑"/>
          <w:b w:val="0"/>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1"/>
          <w:szCs w:val="21"/>
          <w:shd w:val="clear" w:fill="FFFFFF"/>
          <w14:textFill>
            <w14:solidFill>
              <w14:schemeClr w14:val="tx1"/>
            </w14:solidFill>
          </w14:textFill>
        </w:rPr>
        <w:t>增强员工对于风险和安全后果的意识； 降低保险索赔和保险费； 通过对风险的识别、评估和控制，降低运营风险，确保组织合规守法；</w:t>
      </w:r>
      <w:r>
        <w:rPr>
          <w:rFonts w:hint="eastAsia" w:ascii="微软雅黑" w:hAnsi="微软雅黑" w:eastAsia="微软雅黑" w:cs="微软雅黑"/>
          <w:b w:val="0"/>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1"/>
          <w:szCs w:val="21"/>
          <w:shd w:val="clear" w:fill="FFFFFF"/>
          <w14:textFill>
            <w14:solidFill>
              <w14:schemeClr w14:val="tx1"/>
            </w14:solidFill>
          </w14:textFill>
        </w:rPr>
        <w:t>改善经营绩效；</w:t>
      </w:r>
      <w:r>
        <w:rPr>
          <w:rFonts w:hint="eastAsia" w:ascii="微软雅黑" w:hAnsi="微软雅黑" w:eastAsia="微软雅黑" w:cs="微软雅黑"/>
          <w:b w:val="0"/>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1"/>
          <w:szCs w:val="21"/>
          <w:shd w:val="clear" w:fill="FFFFFF"/>
          <w14:textFill>
            <w14:solidFill>
              <w14:schemeClr w14:val="tx1"/>
            </w14:solidFill>
          </w14:textFill>
        </w:rPr>
        <w:t>提高公司形象。</w:t>
      </w:r>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95"/>
        <w:jc w:val="center"/>
        <w:rPr>
          <w:rFonts w:hint="eastAsia" w:ascii="微软雅黑" w:hAnsi="微软雅黑" w:eastAsia="微软雅黑" w:cs="微软雅黑"/>
          <w:b/>
          <w:bCs/>
          <w:i w:val="0"/>
          <w:caps w:val="0"/>
          <w:color w:val="000000"/>
          <w:spacing w:val="0"/>
          <w:sz w:val="21"/>
          <w:szCs w:val="21"/>
          <w:bdr w:val="none" w:color="auto" w:sz="0" w:space="0"/>
          <w:shd w:val="clear" w:fill="FFFFFF"/>
        </w:rPr>
      </w:pPr>
      <w:r>
        <w:rPr>
          <w:rFonts w:hint="eastAsia" w:ascii="微软雅黑" w:hAnsi="微软雅黑" w:eastAsia="微软雅黑" w:cs="微软雅黑"/>
          <w:b/>
          <w:bCs/>
          <w:i w:val="0"/>
          <w:caps w:val="0"/>
          <w:color w:val="000000"/>
          <w:spacing w:val="0"/>
          <w:sz w:val="21"/>
          <w:szCs w:val="21"/>
          <w:bdr w:val="none" w:color="auto" w:sz="0" w:space="0"/>
          <w:shd w:val="clear" w:fill="FFFFFF"/>
        </w:rPr>
        <w:t>OHSAS 18001认证 -- 认证范围</w:t>
      </w:r>
    </w:p>
    <w:tbl>
      <w:tblPr>
        <w:tblStyle w:val="7"/>
        <w:tblW w:w="8563" w:type="dxa"/>
        <w:jc w:val="center"/>
        <w:tblInd w:w="-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934"/>
        <w:gridCol w:w="3430"/>
        <w:gridCol w:w="530"/>
        <w:gridCol w:w="840"/>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序号</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类别代号</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业务范围分类名称</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序号</w:t>
            </w: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类别代号</w:t>
            </w:r>
          </w:p>
        </w:tc>
        <w:tc>
          <w:tcPr>
            <w:tcW w:w="235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业务范围分类名称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农业、林业和渔业</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20</w:t>
            </w: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22</w:t>
            </w:r>
          </w:p>
        </w:tc>
        <w:tc>
          <w:tcPr>
            <w:tcW w:w="235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其他运输设备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采矿业和采石业</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21</w:t>
            </w: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23</w:t>
            </w:r>
          </w:p>
        </w:tc>
        <w:tc>
          <w:tcPr>
            <w:tcW w:w="235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其他未分类制造业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食品、饮料和烟草</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22</w:t>
            </w: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24</w:t>
            </w:r>
          </w:p>
        </w:tc>
        <w:tc>
          <w:tcPr>
            <w:tcW w:w="235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回收业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4</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4</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纺织品及纺织制品</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23</w:t>
            </w: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25</w:t>
            </w:r>
          </w:p>
        </w:tc>
        <w:tc>
          <w:tcPr>
            <w:tcW w:w="235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供电业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5</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5</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皮革及皮革制品</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24</w:t>
            </w: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26</w:t>
            </w:r>
          </w:p>
        </w:tc>
        <w:tc>
          <w:tcPr>
            <w:tcW w:w="235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供气业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6</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6</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木材及木制品</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25</w:t>
            </w: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27</w:t>
            </w:r>
          </w:p>
        </w:tc>
        <w:tc>
          <w:tcPr>
            <w:tcW w:w="235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供水业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7</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7</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纸浆、纸及纸制品</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26</w:t>
            </w: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28</w:t>
            </w:r>
          </w:p>
        </w:tc>
        <w:tc>
          <w:tcPr>
            <w:tcW w:w="235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建设业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8</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8</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出版业</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27</w:t>
            </w: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29</w:t>
            </w:r>
          </w:p>
        </w:tc>
        <w:tc>
          <w:tcPr>
            <w:tcW w:w="235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批发零售业；汽车、摩托车、个人及家庭用品修理业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9</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9</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印刷业</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28</w:t>
            </w: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30</w:t>
            </w:r>
          </w:p>
        </w:tc>
        <w:tc>
          <w:tcPr>
            <w:tcW w:w="235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宾馆及餐馆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10</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10</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焦炭及精炼石油制品的制造</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29</w:t>
            </w: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31</w:t>
            </w:r>
          </w:p>
        </w:tc>
        <w:tc>
          <w:tcPr>
            <w:tcW w:w="235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运输、仓储和通信业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11</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12</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化学品、化学制品及纤维</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30</w:t>
            </w: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32</w:t>
            </w:r>
          </w:p>
        </w:tc>
        <w:tc>
          <w:tcPr>
            <w:tcW w:w="235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金融中介、房地产和租赁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12</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13</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药品</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31</w:t>
            </w: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33</w:t>
            </w:r>
          </w:p>
        </w:tc>
        <w:tc>
          <w:tcPr>
            <w:tcW w:w="235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13</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14</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橡胶和塑料制品</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32</w:t>
            </w: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34</w:t>
            </w:r>
          </w:p>
        </w:tc>
        <w:tc>
          <w:tcPr>
            <w:tcW w:w="235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工程服务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14</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15</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非金属矿物制品</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33</w:t>
            </w: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35</w:t>
            </w:r>
          </w:p>
        </w:tc>
        <w:tc>
          <w:tcPr>
            <w:tcW w:w="235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其它服务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15</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16</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混凝土、水泥、石灰、石膏及其他</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34</w:t>
            </w: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36</w:t>
            </w:r>
          </w:p>
        </w:tc>
        <w:tc>
          <w:tcPr>
            <w:tcW w:w="235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公共行政管理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16</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17</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基础金属及金属制品</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35</w:t>
            </w: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37</w:t>
            </w:r>
          </w:p>
        </w:tc>
        <w:tc>
          <w:tcPr>
            <w:tcW w:w="235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17</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18</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机械及设备</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36</w:t>
            </w: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38</w:t>
            </w:r>
          </w:p>
        </w:tc>
        <w:tc>
          <w:tcPr>
            <w:tcW w:w="235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健康和社会工作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18</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19</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电和光学设备</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37</w:t>
            </w: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39</w:t>
            </w:r>
          </w:p>
        </w:tc>
        <w:tc>
          <w:tcPr>
            <w:tcW w:w="235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其他社会服务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9"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19</w:t>
            </w:r>
          </w:p>
        </w:tc>
        <w:tc>
          <w:tcPr>
            <w:tcW w:w="934"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val="en-US" w:eastAsia="zh-CN"/>
                <w14:textFill>
                  <w14:solidFill>
                    <w14:schemeClr w14:val="tx1"/>
                  </w14:solidFill>
                </w14:textFill>
              </w:rPr>
              <w:t>20</w:t>
            </w:r>
          </w:p>
        </w:tc>
        <w:tc>
          <w:tcPr>
            <w:tcW w:w="34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pPr>
            <w: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lang w:eastAsia="zh-CN"/>
                <w14:textFill>
                  <w14:solidFill>
                    <w14:schemeClr w14:val="tx1"/>
                  </w14:solidFill>
                </w14:textFill>
              </w:rPr>
              <w:t>造船业</w:t>
            </w:r>
          </w:p>
        </w:tc>
        <w:tc>
          <w:tcPr>
            <w:tcW w:w="53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14:textFill>
                  <w14:solidFill>
                    <w14:schemeClr w14:val="tx1"/>
                  </w14:solidFill>
                </w14:textFill>
              </w:rPr>
            </w:pPr>
          </w:p>
        </w:tc>
        <w:tc>
          <w:tcPr>
            <w:tcW w:w="84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14:textFill>
                  <w14:solidFill>
                    <w14:schemeClr w14:val="tx1"/>
                  </w14:solidFill>
                </w14:textFill>
              </w:rPr>
            </w:pPr>
          </w:p>
        </w:tc>
        <w:tc>
          <w:tcPr>
            <w:tcW w:w="2350" w:type="dxa"/>
            <w:vAlign w:val="center"/>
          </w:tcPr>
          <w:p>
            <w:pPr>
              <w:pStyle w:val="3"/>
              <w:keepNext w:val="0"/>
              <w:keepLines w:val="0"/>
              <w:widowControl/>
              <w:suppressLineNumbers w:val="0"/>
              <w:spacing w:before="0" w:beforeAutospacing="0" w:after="0" w:afterAutospacing="0" w:line="330" w:lineRule="atLeast"/>
              <w:ind w:right="0"/>
              <w:jc w:val="center"/>
              <w:rPr>
                <w:rStyle w:val="5"/>
                <w:rFonts w:hint="eastAsia" w:ascii="微软雅黑" w:hAnsi="微软雅黑" w:eastAsia="微软雅黑" w:cs="微软雅黑"/>
                <w:b w:val="0"/>
                <w:bCs/>
                <w:i w:val="0"/>
                <w:caps w:val="0"/>
                <w:color w:val="000000" w:themeColor="text1"/>
                <w:spacing w:val="0"/>
                <w:sz w:val="21"/>
                <w:szCs w:val="21"/>
                <w:shd w:val="clear" w:fill="FFFFFF"/>
                <w:vertAlign w:val="baseline"/>
                <w14:textFill>
                  <w14:solidFill>
                    <w14:schemeClr w14:val="tx1"/>
                  </w14:solidFill>
                </w14:textFill>
              </w:rPr>
            </w:pPr>
          </w:p>
        </w:tc>
      </w:tr>
    </w:tbl>
    <w:p/>
    <w:p/>
    <w:p/>
    <w:p/>
    <w:p/>
    <w:p/>
    <w:p/>
    <w:p/>
    <w:p/>
    <w:p/>
    <w:p/>
    <w:p/>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95"/>
        <w:jc w:val="center"/>
        <w:rPr>
          <w:rFonts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bCs/>
          <w:i w:val="0"/>
          <w:caps w:val="0"/>
          <w:color w:val="000000"/>
          <w:spacing w:val="0"/>
          <w:sz w:val="21"/>
          <w:szCs w:val="21"/>
          <w:bdr w:val="none" w:color="auto" w:sz="0" w:space="0"/>
          <w:shd w:val="clear" w:fill="FFFFFF"/>
        </w:rPr>
        <w:t>OHSAS 18001认证 -- 认证流程</w:t>
      </w:r>
    </w:p>
    <w:p>
      <w:pPr>
        <w:rPr>
          <w:rFonts w:hint="eastAsia" w:eastAsiaTheme="minorEastAsia"/>
          <w:lang w:eastAsia="zh-CN"/>
        </w:rPr>
      </w:pPr>
      <w:r>
        <w:rPr>
          <w:rFonts w:hint="eastAsia" w:eastAsiaTheme="minorEastAsia"/>
          <w:lang w:eastAsia="zh-CN"/>
        </w:rPr>
        <w:drawing>
          <wp:inline distT="0" distB="0" distL="114300" distR="114300">
            <wp:extent cx="5201920" cy="8148955"/>
            <wp:effectExtent l="0" t="0" r="17780" b="444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5201920" cy="8148955"/>
                    </a:xfrm>
                    <a:prstGeom prst="rect">
                      <a:avLst/>
                    </a:prstGeom>
                  </pic:spPr>
                </pic:pic>
              </a:graphicData>
            </a:graphic>
          </wp:inline>
        </w:drawing>
      </w:r>
    </w:p>
    <w:p>
      <w:pPr>
        <w:spacing w:line="540" w:lineRule="exact"/>
        <w:rPr>
          <w:rFonts w:hint="eastAsia" w:ascii="宋体" w:hAnsi="宋体"/>
          <w:b/>
          <w:sz w:val="28"/>
          <w:szCs w:val="28"/>
        </w:rPr>
      </w:pPr>
      <w:r>
        <w:rPr>
          <w:rFonts w:hint="eastAsia" w:ascii="宋体" w:hAnsi="宋体"/>
          <w:b/>
          <w:sz w:val="28"/>
          <w:szCs w:val="28"/>
        </w:rPr>
        <w:t>申报地址：吉林省重诺</w:t>
      </w:r>
      <w:r>
        <w:rPr>
          <w:rFonts w:ascii="宋体" w:hAnsi="宋体"/>
          <w:b/>
          <w:sz w:val="28"/>
          <w:szCs w:val="28"/>
        </w:rPr>
        <w:t>信用认证中心</w:t>
      </w:r>
    </w:p>
    <w:p>
      <w:pPr>
        <w:spacing w:line="540" w:lineRule="exact"/>
        <w:ind w:left="393" w:leftChars="187" w:firstLine="1042" w:firstLineChars="399"/>
        <w:rPr>
          <w:rFonts w:ascii="宋体" w:hAnsi="宋体"/>
          <w:b/>
          <w:w w:val="93"/>
          <w:sz w:val="28"/>
          <w:szCs w:val="28"/>
        </w:rPr>
      </w:pPr>
      <w:r>
        <w:rPr>
          <w:rFonts w:hint="eastAsia" w:ascii="宋体" w:hAnsi="宋体"/>
          <w:b/>
          <w:w w:val="93"/>
          <w:sz w:val="28"/>
          <w:szCs w:val="28"/>
        </w:rPr>
        <w:t>长春市汇商大厦</w:t>
      </w:r>
    </w:p>
    <w:p>
      <w:pPr>
        <w:spacing w:line="540" w:lineRule="exact"/>
        <w:rPr>
          <w:rFonts w:hint="eastAsia" w:ascii="宋体" w:hAnsi="宋体"/>
          <w:b/>
          <w:sz w:val="28"/>
          <w:szCs w:val="28"/>
        </w:rPr>
      </w:pPr>
      <w:r>
        <w:rPr>
          <w:rFonts w:hint="eastAsia" w:ascii="宋体" w:hAnsi="宋体"/>
          <w:b/>
          <w:sz w:val="28"/>
          <w:szCs w:val="28"/>
        </w:rPr>
        <w:t xml:space="preserve">邮    编：130000   </w:t>
      </w:r>
    </w:p>
    <w:p>
      <w:pPr>
        <w:spacing w:line="540" w:lineRule="exact"/>
        <w:rPr>
          <w:rFonts w:hint="eastAsia" w:ascii="宋体" w:hAnsi="宋体"/>
          <w:b/>
          <w:sz w:val="28"/>
          <w:szCs w:val="28"/>
          <w:lang w:val="en-US"/>
        </w:rPr>
      </w:pPr>
      <w:r>
        <w:rPr>
          <w:rFonts w:hint="eastAsia" w:ascii="宋体" w:hAnsi="宋体"/>
          <w:b/>
          <w:sz w:val="28"/>
          <w:szCs w:val="28"/>
        </w:rPr>
        <w:t>联系电话：</w:t>
      </w:r>
      <w:r>
        <w:rPr>
          <w:rFonts w:hint="eastAsia" w:ascii="宋体" w:hAnsi="宋体"/>
          <w:b/>
          <w:sz w:val="28"/>
          <w:szCs w:val="28"/>
          <w:lang w:val="en-US" w:eastAsia="zh-CN"/>
        </w:rPr>
        <w:t>81698770  81698779</w:t>
      </w:r>
    </w:p>
    <w:p>
      <w:pPr>
        <w:rPr>
          <w:rFonts w:hint="eastAsia" w:eastAsiaTheme="minorEastAsia"/>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C97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重诺认证</cp:lastModifiedBy>
  <dcterms:modified xsi:type="dcterms:W3CDTF">2018-02-05T06:20:27Z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